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65" w:rsidRDefault="00952DE2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020D29" w:rsidRDefault="00952DE2">
      <w:pPr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“追溯建党初心，共话百年辉煌”专题网络</w:t>
      </w:r>
    </w:p>
    <w:p w:rsidR="00B54B65" w:rsidRDefault="00952DE2">
      <w:pPr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培训课程列表</w:t>
      </w:r>
    </w:p>
    <w:bookmarkEnd w:id="0"/>
    <w:p w:rsidR="00B54B65" w:rsidRDefault="00B54B6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</w:p>
    <w:tbl>
      <w:tblPr>
        <w:tblW w:w="8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134"/>
        <w:gridCol w:w="3297"/>
      </w:tblGrid>
      <w:tr w:rsidR="00B54B65">
        <w:trPr>
          <w:trHeight w:val="51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主讲人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职务</w:t>
            </w:r>
          </w:p>
        </w:tc>
      </w:tr>
      <w:tr w:rsidR="00B54B65">
        <w:trPr>
          <w:trHeight w:val="510"/>
        </w:trPr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黑体" w:eastAsia="黑体" w:hAnsi="黑体" w:cs="黑体" w:hint="eastAsia"/>
              </w:rPr>
              <w:t>第一篇 回顾入党历程，牢记初心使命</w:t>
            </w:r>
          </w:p>
        </w:tc>
      </w:tr>
      <w:tr w:rsidR="00B54B65">
        <w:trPr>
          <w:trHeight w:val="51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8" w:tooltip="https://study.enaea.edu.cn/kecheng/detail_278482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我的入党志愿书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记录片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B54B6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4B65">
        <w:trPr>
          <w:trHeight w:val="51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9" w:tooltip="https://study.enaea.edu.cn/kecheng/detail_277029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关于共产主义信仰的几个问题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刘建军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中国人民大学马克思主义学院教授</w:t>
            </w:r>
          </w:p>
        </w:tc>
      </w:tr>
      <w:tr w:rsidR="00B54B65">
        <w:trPr>
          <w:trHeight w:val="51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追问信仰与共产党人的初心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董振华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坚守信仰 绝对忠诚 不忘初心 牢记使命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刘玉平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刘光典烈士之子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0" w:tooltip="https://study.enaea.edu.cn/kecheng/detail_284500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“不忘初心” 深研经典 增强理论自信——学习李大钊《我的马克思主义观》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侯且岸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中国李大钊研究会副会长、北京师范大学历史学院特聘教授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1" w:tooltip="https://study.enaea.edu.cn/kecheng/detail_289844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深刻理解习近平总书记教师节重要寄语精神——牢记为党育人、为国育才使命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 xml:space="preserve">  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首都经济贸易大学原党委书记、教授</w:t>
            </w:r>
          </w:p>
        </w:tc>
      </w:tr>
      <w:tr w:rsidR="00B54B65">
        <w:trPr>
          <w:trHeight w:val="51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2" w:tooltip="https://study.enaea.edu.cn/kecheng/detail_283273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不忘育人初心 提升从业境界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李丹青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中国计量大学标准化学院院长、教授</w:t>
            </w:r>
          </w:p>
        </w:tc>
      </w:tr>
      <w:tr w:rsidR="00B54B65">
        <w:trPr>
          <w:trHeight w:val="510"/>
        </w:trPr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黑体" w:eastAsia="黑体" w:hAnsi="黑体" w:cs="黑体" w:hint="eastAsia"/>
              </w:rPr>
              <w:t>第二篇 学习党史国史，坚定理想信念</w:t>
            </w:r>
          </w:p>
        </w:tc>
      </w:tr>
      <w:tr w:rsidR="00B54B65">
        <w:trPr>
          <w:trHeight w:val="567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党的创立和大革命的兴起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周良书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北京大学马克思主义学院教授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3" w:tooltip="https://study.enaea.edu.cn/kecheng/detail_290016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中国革命新道路的探索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高正礼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北京交通大学马克思主义学院院长、教授</w:t>
            </w:r>
          </w:p>
        </w:tc>
      </w:tr>
      <w:tr w:rsidR="00B54B65">
        <w:trPr>
          <w:trHeight w:val="567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在抗日战争烽火中发展壮大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纪亚光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南开大学马克思主义学院教授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中华人民共和国的诞生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刘国新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中国社会科学院当代中国研究所文化史研究室主任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中国社会主义制度的建立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李松林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首都师范大学马克思主义学院原院长、教授</w:t>
            </w:r>
          </w:p>
        </w:tc>
      </w:tr>
      <w:tr w:rsidR="00B54B65">
        <w:trPr>
          <w:trHeight w:val="567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中国社会主义建设道路的探索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纪亚光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南开大学马克思主义学院教授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十一届三中全会的伟大转折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王炳林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教育部高等学校社会科学发展研究中心主任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改革开放的历程和基本经验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王炳林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教育部高等学校社会科学发展研究中心主任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lastRenderedPageBreak/>
              <w:t>中国特色社会主义道路的接续探索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王  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54B65" w:rsidRDefault="00952DE2">
            <w:pPr>
              <w:textAlignment w:val="top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南京师范大学马克思主义学院院长、教授</w:t>
            </w:r>
          </w:p>
        </w:tc>
      </w:tr>
      <w:tr w:rsidR="00B54B65">
        <w:trPr>
          <w:trHeight w:val="600"/>
        </w:trPr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黑体" w:eastAsia="黑体" w:hAnsi="黑体" w:cs="黑体" w:hint="eastAsia"/>
              </w:rPr>
              <w:t>第三篇 弘扬革命传统，传承红色基因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发扬党的优良传统与作风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陈  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8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Style w:val="font01"/>
                <w:rFonts w:ascii="仿宋" w:eastAsia="仿宋" w:hAnsi="仿宋" w:cs="仿宋" w:hint="eastAsia"/>
                <w:color w:val="000000" w:themeColor="text1"/>
                <w:lang w:bidi="ar"/>
              </w:rPr>
              <w:t>“</w:t>
            </w:r>
            <w:r>
              <w:rPr>
                <w:rStyle w:val="font11"/>
                <w:rFonts w:ascii="仿宋" w:eastAsia="仿宋" w:hAnsi="仿宋" w:cs="仿宋" w:hint="eastAsia"/>
                <w:color w:val="000000" w:themeColor="text1"/>
                <w:lang w:bidi="ar"/>
              </w:rPr>
              <w:t>红船精神</w:t>
            </w:r>
            <w:r>
              <w:rPr>
                <w:rStyle w:val="font01"/>
                <w:rFonts w:ascii="仿宋" w:eastAsia="仿宋" w:hAnsi="仿宋" w:cs="仿宋" w:hint="eastAsia"/>
                <w:color w:val="000000" w:themeColor="text1"/>
                <w:lang w:bidi="ar"/>
              </w:rPr>
              <w:t>”</w:t>
            </w:r>
            <w:r>
              <w:rPr>
                <w:rStyle w:val="font11"/>
                <w:rFonts w:ascii="仿宋" w:eastAsia="仿宋" w:hAnsi="仿宋" w:cs="仿宋" w:hint="eastAsia"/>
                <w:color w:val="000000" w:themeColor="text1"/>
                <w:lang w:bidi="ar"/>
              </w:rPr>
              <w:t>：新长征路上的精神底蕴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戴立兴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中国社会科学院马克思主义研究院研究员</w:t>
            </w:r>
          </w:p>
        </w:tc>
      </w:tr>
      <w:tr w:rsidR="00B54B65">
        <w:trPr>
          <w:trHeight w:val="68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井冈山精神的内涵及其当代价值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陈胜华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中国井冈山干部学院教学科研部党史教研中心主任、教授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4" w:tooltip="https://study.enaea.edu.cn/kecheng/detail_281918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弘扬苏区精神，加强作风建设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莉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5" w:tooltip="https://study.enaea.edu.cn/kecheng/detail_281617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铭记瑞金：第一个全国性红色政权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戴立兴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中国社科院马研院党建党史室主任、研究员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历史记忆中的长征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纪录片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B54B65">
            <w:pPr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抗战精神：中华民族复兴的强大精神动力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薛庆超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中共中央党史和文献研究院研究员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6" w:tooltip="https://study.enaea.edu.cn/kecheng/detail_279315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延安精神的时代价值与现实意义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郭必选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延安大学教授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“两个务必”和“赶考”智慧——中国共产党在西柏坡的伟大实践及精神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李庆安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中国西柏坡精神研究院副院长、西柏坡纪念馆副馆长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永不消逝的雷锋精神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徐  平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7" w:tooltip="https://study.enaea.edu.cn/kecheng/detail_279314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红色文化的精神内核与当代价值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洪向华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00"/>
        </w:trPr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黑体" w:eastAsia="黑体" w:hAnsi="黑体" w:cs="黑体" w:hint="eastAsia"/>
              </w:rPr>
              <w:t>第四篇 锤炼党性修养，永葆政治本色</w:t>
            </w:r>
          </w:p>
        </w:tc>
      </w:tr>
      <w:tr w:rsidR="00B54B65">
        <w:trPr>
          <w:trHeight w:val="68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理想信念与卓越人才培养——《习近平的七年知青岁月》导读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刘力波</w:t>
            </w:r>
          </w:p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等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陕西师范大学教授等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新时代共产党员的党性修养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刘玉瑛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8" w:tooltip="https://study.enaea.edu.cn/kecheng/detail_281767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政治修养是党性修养的灵魂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微  课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B54B65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4B65">
        <w:trPr>
          <w:trHeight w:val="68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19" w:tooltip="https://study.enaea.edu.cn/kecheng/detail_282435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新时代共产党员的党性修养——政治理论修养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微  课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B54B65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B54B65">
        <w:trPr>
          <w:trHeight w:val="758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欲而不贪、宠辱不惊的人生智慧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王  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8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0" w:tooltip="https://study.enaea.edu.cn/kecheng/detail_284535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增强党性修养 做合格共产党员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孙  宁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中共北京市委党校（北京行政学院）党史党建教研部副教授</w:t>
            </w:r>
          </w:p>
        </w:tc>
      </w:tr>
      <w:tr w:rsidR="00B54B65">
        <w:trPr>
          <w:trHeight w:val="80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1" w:tooltip="https://study.enaea.edu.cn/kecheng/detail_286907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净化政治生态，永葆清正廉洁的政治本色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刘  春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00"/>
        </w:trPr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黑体" w:eastAsia="黑体" w:hAnsi="黑体" w:cs="黑体" w:hint="eastAsia"/>
              </w:rPr>
              <w:t>第五篇 坚持党的领导，发挥制度优势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2" w:tooltip="https://study.enaea.edu.cn/kecheng/detail_290506" w:history="1">
              <w:proofErr w:type="gramStart"/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践行</w:t>
              </w:r>
              <w:proofErr w:type="gramEnd"/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新时代党的组织路线 努力提高党的建设质量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乔志强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湖北省委教育工委组织处处长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3" w:tooltip="https://study.enaea.edu.cn/kecheng/detail_280978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坚持中国共产党领导的制度优势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陈志刚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中国社会科学院马克思主义研究院研究员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4" w:tooltip="https://study.enaea.edu.cn/kecheng/detail_282439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疫情防控治理效能与中国制度优势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卢黎歌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西安交通大学马克思主义学院二级教授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5" w:tooltip="https://study.enaea.edu.cn/kecheng/detail_290524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强化政治监督保障制度执行，增强“两个维护”的</w:t>
              </w:r>
              <w:proofErr w:type="gramStart"/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政治自觉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任  进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6" w:tooltip="https://study.enaea.edu.cn/kecheng/detail_288858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加强党的领导与全面从严治党的内在统一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董亚炜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中共中央党校（国家行政学院）教授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党的全面领导与全面建设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王韶兴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山东大学特聘教授、山东省政党理论研究基地主任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7" w:tooltip="https://study.enaea.edu.cn/kecheng/detail_290586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新时代制度治党：实践价值、制度基础与关键环节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曹鹏飞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中共中央党校(国家行政学院)教授</w:t>
            </w:r>
          </w:p>
        </w:tc>
      </w:tr>
      <w:tr w:rsidR="00B54B65">
        <w:trPr>
          <w:trHeight w:val="600"/>
        </w:trPr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黑体" w:eastAsia="黑体" w:hAnsi="黑体" w:cs="黑体" w:hint="eastAsia"/>
              </w:rPr>
              <w:t>第六篇 聚焦岗位职责，主动担当作为</w:t>
            </w:r>
          </w:p>
        </w:tc>
      </w:tr>
      <w:tr w:rsidR="00B54B65">
        <w:trPr>
          <w:trHeight w:val="70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贯彻落实十九届五中全会精神  推动“十四五”时期高等教育的高质量发展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马陆亭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教育部教育发展研究中心副主任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8" w:tooltip="https://study.enaea.edu.cn/kecheng/detail_287011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以法治思维推进学校教育治理现代化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王敬波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中国政法大学法治政府研究院院长、二级教授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29" w:tooltip="https://study.enaea.edu.cn/kecheng/detail_282274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强化重大风险管理，提升教育治理能力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王保华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中国传媒大学高教传媒与舆情监测研究中心主任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30" w:tooltip="https://study.enaea.edu.cn/kecheng/detail_287139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高校基层教学组织建设内容、路径和工作模式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 xml:space="preserve">司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莉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河南财经政法大学教授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31" w:tooltip="https://study.enaea.edu.cn/kecheng/detail_289810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高校危机干预的工作体系的构建</w:t>
              </w:r>
              <w:proofErr w:type="gramStart"/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与完善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李  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清华大学教授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32" w:tooltip="https://study.enaea.edu.cn/kecheng/detail_290575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常修为师之德，常怀崇教之心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杨宗丽</w:t>
            </w:r>
            <w:proofErr w:type="gram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全国模范教师、中央民族大学马克思主义学院教授</w:t>
            </w:r>
          </w:p>
        </w:tc>
      </w:tr>
      <w:tr w:rsidR="00B54B65">
        <w:trPr>
          <w:trHeight w:val="6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4959A5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hyperlink r:id="rId33" w:tooltip="https://study.enaea.edu.cn/kecheng/detail_280341" w:history="1"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 xml:space="preserve">牢记共产党人的初心使命 </w:t>
              </w:r>
              <w:proofErr w:type="gramStart"/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践行</w:t>
              </w:r>
              <w:proofErr w:type="gramEnd"/>
              <w:r w:rsidR="00952DE2">
                <w:rPr>
                  <w:rStyle w:val="ad"/>
                  <w:rFonts w:ascii="仿宋" w:eastAsia="仿宋" w:hAnsi="仿宋" w:cs="仿宋" w:hint="eastAsia"/>
                  <w:color w:val="000000" w:themeColor="text1"/>
                  <w:u w:val="none"/>
                </w:rPr>
                <w:t>共产党人的责任担当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秦  强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4B65" w:rsidRDefault="00952DE2">
            <w:pPr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中宣部全国宣传干部学院教研部副主任、中国人民大学法律社会学研究所研究员</w:t>
            </w:r>
          </w:p>
        </w:tc>
      </w:tr>
    </w:tbl>
    <w:p w:rsidR="00B54B65" w:rsidRDefault="00952DE2">
      <w:pPr>
        <w:pStyle w:val="00"/>
        <w:spacing w:line="360" w:lineRule="exact"/>
        <w:ind w:rightChars="-27" w:right="-65" w:firstLineChars="0" w:firstLine="0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/>
          <w:color w:val="auto"/>
        </w:rPr>
        <w:t>说明</w:t>
      </w:r>
      <w:r>
        <w:rPr>
          <w:rFonts w:ascii="楷体" w:eastAsia="楷体" w:hAnsi="楷体" w:cs="仿宋" w:hint="eastAsia"/>
          <w:color w:val="auto"/>
        </w:rPr>
        <w:t>：</w:t>
      </w:r>
      <w:r>
        <w:rPr>
          <w:rFonts w:ascii="Times New Roman" w:eastAsia="楷体" w:hAnsi="Times New Roman"/>
          <w:color w:val="auto"/>
        </w:rPr>
        <w:t>1</w:t>
      </w:r>
      <w:r>
        <w:rPr>
          <w:rFonts w:ascii="Times New Roman" w:eastAsia="楷体" w:hAnsi="Times New Roman" w:hint="eastAsia"/>
          <w:color w:val="auto"/>
        </w:rPr>
        <w:t>.</w:t>
      </w:r>
      <w:r>
        <w:rPr>
          <w:rFonts w:ascii="楷体" w:eastAsia="楷体" w:hAnsi="楷体" w:cs="仿宋" w:hint="eastAsia"/>
          <w:color w:val="auto"/>
        </w:rPr>
        <w:t>个别课程或稍有调整，请以平台最终发布课程为准；</w:t>
      </w:r>
    </w:p>
    <w:p w:rsidR="00B54B65" w:rsidRDefault="00952DE2">
      <w:pPr>
        <w:pStyle w:val="00"/>
        <w:spacing w:line="360" w:lineRule="exact"/>
        <w:ind w:rightChars="-27" w:right="-65" w:firstLineChars="300" w:firstLine="720"/>
        <w:rPr>
          <w:rFonts w:ascii="仿宋" w:eastAsia="仿宋" w:hAnsi="仿宋"/>
          <w:sz w:val="28"/>
          <w:szCs w:val="28"/>
        </w:rPr>
      </w:pPr>
      <w:r>
        <w:rPr>
          <w:rFonts w:ascii="Times New Roman" w:eastAsia="楷体" w:hAnsi="Times New Roman"/>
          <w:color w:val="auto"/>
        </w:rPr>
        <w:t>2.</w:t>
      </w:r>
      <w:r>
        <w:rPr>
          <w:rFonts w:ascii="楷体" w:eastAsia="楷体" w:hAnsi="楷体" w:cs="仿宋"/>
          <w:color w:val="auto"/>
        </w:rPr>
        <w:t>课程主讲人职务为课程录制时的职务</w:t>
      </w:r>
      <w:r>
        <w:rPr>
          <w:rFonts w:ascii="楷体" w:eastAsia="楷体" w:hAnsi="楷体" w:cs="仿宋" w:hint="eastAsia"/>
          <w:color w:val="auto"/>
        </w:rPr>
        <w:t>。</w:t>
      </w:r>
    </w:p>
    <w:p w:rsidR="00B54B65" w:rsidRDefault="00B54B65">
      <w:pPr>
        <w:spacing w:line="560" w:lineRule="exact"/>
        <w:ind w:firstLineChars="200" w:firstLine="640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B54B65" w:rsidRDefault="00952DE2">
      <w:pPr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/>
          <w:color w:val="000000"/>
          <w:sz w:val="32"/>
          <w:szCs w:val="32"/>
        </w:rPr>
        <w:br w:type="page"/>
      </w:r>
    </w:p>
    <w:p w:rsidR="00B54B65" w:rsidRDefault="00952DE2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附件3</w:t>
      </w:r>
    </w:p>
    <w:tbl>
      <w:tblPr>
        <w:tblpPr w:leftFromText="180" w:rightFromText="180" w:vertAnchor="page" w:horzAnchor="margin" w:tblpXSpec="center" w:tblpY="4261"/>
        <w:tblW w:w="7792" w:type="dxa"/>
        <w:tblLook w:val="04A0" w:firstRow="1" w:lastRow="0" w:firstColumn="1" w:lastColumn="0" w:noHBand="0" w:noVBand="1"/>
      </w:tblPr>
      <w:tblGrid>
        <w:gridCol w:w="1089"/>
        <w:gridCol w:w="2106"/>
        <w:gridCol w:w="2186"/>
        <w:gridCol w:w="2411"/>
      </w:tblGrid>
      <w:tr w:rsidR="00B54B65">
        <w:trPr>
          <w:trHeight w:val="79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0"/>
              </w:rPr>
              <w:t>姓名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类型</w:t>
            </w:r>
            <w:r>
              <w:rPr>
                <w:rFonts w:ascii="Arial" w:eastAsia="宋体" w:hAnsi="Arial" w:cs="Arial"/>
                <w:b/>
                <w:bCs/>
                <w:sz w:val="28"/>
                <w:szCs w:val="20"/>
              </w:rPr>
              <w:t>（</w:t>
            </w: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海外留学</w:t>
            </w:r>
            <w:r>
              <w:rPr>
                <w:rFonts w:ascii="Arial" w:eastAsia="宋体" w:hAnsi="Arial" w:cs="Arial"/>
                <w:b/>
                <w:bCs/>
                <w:sz w:val="28"/>
                <w:szCs w:val="20"/>
              </w:rPr>
              <w:t>教师</w:t>
            </w: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/</w:t>
            </w: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联络员</w:t>
            </w:r>
            <w:r>
              <w:rPr>
                <w:rFonts w:ascii="Arial" w:eastAsia="宋体" w:hAnsi="Arial" w:cs="Arial"/>
                <w:b/>
                <w:bCs/>
                <w:sz w:val="28"/>
                <w:szCs w:val="20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手机号</w:t>
            </w: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1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3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4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5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6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7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8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sz w:val="28"/>
                <w:szCs w:val="20"/>
              </w:rPr>
              <w:t>9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  <w:tr w:rsidR="00B54B65">
        <w:trPr>
          <w:trHeight w:val="7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952DE2">
            <w:pPr>
              <w:rPr>
                <w:rFonts w:ascii="Arial" w:eastAsia="宋体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0"/>
              </w:rPr>
              <w:t>……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65" w:rsidRDefault="00B54B65">
            <w:pPr>
              <w:rPr>
                <w:rFonts w:ascii="Arial" w:eastAsia="宋体" w:hAnsi="Arial" w:cs="Arial"/>
                <w:sz w:val="28"/>
                <w:szCs w:val="20"/>
              </w:rPr>
            </w:pPr>
          </w:p>
        </w:tc>
      </w:tr>
    </w:tbl>
    <w:p w:rsidR="00B54B65" w:rsidRDefault="00952DE2">
      <w:pPr>
        <w:spacing w:line="560" w:lineRule="exact"/>
        <w:ind w:firstLineChars="200" w:firstLine="883"/>
        <w:jc w:val="center"/>
        <w:rPr>
          <w:rFonts w:ascii="方正仿宋_GBK" w:eastAsia="方正仿宋_GBK" w:hAnsi="Times New Roman"/>
          <w:b/>
          <w:color w:val="000000"/>
          <w:sz w:val="44"/>
          <w:szCs w:val="32"/>
        </w:rPr>
      </w:pPr>
      <w:r>
        <w:rPr>
          <w:rFonts w:ascii="方正仿宋_GBK" w:eastAsia="方正仿宋_GBK" w:hAnsi="Times New Roman" w:hint="eastAsia"/>
          <w:b/>
          <w:color w:val="000000"/>
          <w:sz w:val="44"/>
          <w:szCs w:val="32"/>
        </w:rPr>
        <w:t>培训</w:t>
      </w:r>
      <w:r>
        <w:rPr>
          <w:rFonts w:ascii="方正仿宋_GBK" w:eastAsia="方正仿宋_GBK" w:hAnsi="Times New Roman"/>
          <w:b/>
          <w:color w:val="000000"/>
          <w:sz w:val="44"/>
          <w:szCs w:val="32"/>
        </w:rPr>
        <w:t>报名表</w:t>
      </w:r>
    </w:p>
    <w:p w:rsidR="00B54B65" w:rsidRDefault="00B54B65">
      <w:pPr>
        <w:spacing w:line="560" w:lineRule="exact"/>
        <w:ind w:firstLineChars="200" w:firstLine="643"/>
        <w:jc w:val="center"/>
        <w:rPr>
          <w:rFonts w:ascii="方正仿宋_GBK" w:eastAsia="方正仿宋_GBK" w:hAnsi="Times New Roman"/>
          <w:b/>
          <w:color w:val="000000"/>
          <w:sz w:val="32"/>
          <w:szCs w:val="32"/>
        </w:rPr>
      </w:pPr>
    </w:p>
    <w:p w:rsidR="00B54B65" w:rsidRDefault="00952DE2">
      <w:pPr>
        <w:spacing w:line="560" w:lineRule="exact"/>
        <w:ind w:firstLineChars="200" w:firstLine="643"/>
        <w:jc w:val="both"/>
        <w:rPr>
          <w:rFonts w:ascii="方正仿宋_GBK" w:eastAsia="方正仿宋_GBK" w:hAnsi="Times New Roman"/>
          <w:b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填报</w:t>
      </w:r>
      <w:r>
        <w:rPr>
          <w:rFonts w:ascii="方正仿宋_GBK" w:eastAsia="方正仿宋_GBK" w:hAnsi="Times New Roman"/>
          <w:b/>
          <w:color w:val="000000"/>
          <w:sz w:val="32"/>
          <w:szCs w:val="32"/>
        </w:rPr>
        <w:t>单位</w:t>
      </w:r>
      <w:r>
        <w:rPr>
          <w:rFonts w:ascii="方正仿宋_GBK" w:eastAsia="方正仿宋_GBK" w:hAnsi="Times New Roman" w:hint="eastAsia"/>
          <w:b/>
          <w:color w:val="000000"/>
          <w:sz w:val="32"/>
          <w:szCs w:val="32"/>
        </w:rPr>
        <w:t>（盖章）</w:t>
      </w:r>
      <w:r>
        <w:rPr>
          <w:rFonts w:ascii="方正仿宋_GBK" w:eastAsia="方正仿宋_GBK" w:hAnsi="Times New Roman"/>
          <w:b/>
          <w:color w:val="000000"/>
          <w:sz w:val="32"/>
          <w:szCs w:val="32"/>
        </w:rPr>
        <w:t>：</w:t>
      </w:r>
    </w:p>
    <w:sectPr w:rsidR="00B54B65">
      <w:footerReference w:type="default" r:id="rId34"/>
      <w:pgSz w:w="11906" w:h="16838"/>
      <w:pgMar w:top="153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A5" w:rsidRDefault="004959A5">
      <w:r>
        <w:separator/>
      </w:r>
    </w:p>
  </w:endnote>
  <w:endnote w:type="continuationSeparator" w:id="0">
    <w:p w:rsidR="004959A5" w:rsidRDefault="0049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65" w:rsidRDefault="00952DE2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25422938"/>
                          </w:sdtPr>
                          <w:sdtEndPr/>
                          <w:sdtContent>
                            <w:p w:rsidR="00B54B65" w:rsidRDefault="00952DE2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20D29" w:rsidRPr="00020D29">
                                <w:rPr>
                                  <w:rFonts w:ascii="方正仿宋_GBK" w:eastAsia="方正仿宋_GBK" w:hAnsi="方正仿宋_GBK" w:cs="方正仿宋_GBK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020D29">
                                <w:rPr>
                                  <w:rFonts w:ascii="方正仿宋_GBK" w:eastAsia="方正仿宋_GBK" w:hAnsi="方正仿宋_GBK" w:cs="方正仿宋_GBK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54B65" w:rsidRDefault="00B54B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1625422938"/>
                    </w:sdtPr>
                    <w:sdtEndPr/>
                    <w:sdtContent>
                      <w:p w:rsidR="00B54B65" w:rsidRDefault="00952DE2">
                        <w:pPr>
                          <w:pStyle w:val="a3"/>
                          <w:jc w:val="center"/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020D29" w:rsidRPr="00020D29">
                          <w:rPr>
                            <w:rFonts w:ascii="方正仿宋_GBK" w:eastAsia="方正仿宋_GBK" w:hAnsi="方正仿宋_GBK" w:cs="方正仿宋_GBK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020D29">
                          <w:rPr>
                            <w:rFonts w:ascii="方正仿宋_GBK" w:eastAsia="方正仿宋_GBK" w:hAnsi="方正仿宋_GBK" w:cs="方正仿宋_GBK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54B65" w:rsidRDefault="00B54B65"/>
                </w:txbxContent>
              </v:textbox>
              <w10:wrap anchorx="margin"/>
            </v:shape>
          </w:pict>
        </mc:Fallback>
      </mc:AlternateContent>
    </w:r>
  </w:p>
  <w:p w:rsidR="00B54B65" w:rsidRDefault="00B54B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A5" w:rsidRDefault="004959A5">
      <w:r>
        <w:separator/>
      </w:r>
    </w:p>
  </w:footnote>
  <w:footnote w:type="continuationSeparator" w:id="0">
    <w:p w:rsidR="004959A5" w:rsidRDefault="0049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BF3"/>
    <w:multiLevelType w:val="multilevel"/>
    <w:tmpl w:val="49050BF3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B4"/>
    <w:rsid w:val="00020D29"/>
    <w:rsid w:val="0013483A"/>
    <w:rsid w:val="002A1D89"/>
    <w:rsid w:val="002E7C6E"/>
    <w:rsid w:val="0043251E"/>
    <w:rsid w:val="00451F1D"/>
    <w:rsid w:val="00461A9C"/>
    <w:rsid w:val="00465FB6"/>
    <w:rsid w:val="004959A5"/>
    <w:rsid w:val="004B0BA4"/>
    <w:rsid w:val="004D1B63"/>
    <w:rsid w:val="004E634C"/>
    <w:rsid w:val="005175B4"/>
    <w:rsid w:val="005D474B"/>
    <w:rsid w:val="006F01C1"/>
    <w:rsid w:val="007616DD"/>
    <w:rsid w:val="007669BB"/>
    <w:rsid w:val="00767510"/>
    <w:rsid w:val="00810909"/>
    <w:rsid w:val="008F514E"/>
    <w:rsid w:val="00945727"/>
    <w:rsid w:val="00952DE2"/>
    <w:rsid w:val="009953B8"/>
    <w:rsid w:val="00A55340"/>
    <w:rsid w:val="00A67B01"/>
    <w:rsid w:val="00A765AA"/>
    <w:rsid w:val="00AB2DD9"/>
    <w:rsid w:val="00AF13BD"/>
    <w:rsid w:val="00AF4D99"/>
    <w:rsid w:val="00B54B65"/>
    <w:rsid w:val="00B742BD"/>
    <w:rsid w:val="00B81FAE"/>
    <w:rsid w:val="00BD76B5"/>
    <w:rsid w:val="00BE7CD0"/>
    <w:rsid w:val="00C0416D"/>
    <w:rsid w:val="00C64E47"/>
    <w:rsid w:val="00D0286A"/>
    <w:rsid w:val="00DD05B0"/>
    <w:rsid w:val="00DE1FA5"/>
    <w:rsid w:val="00E06FD9"/>
    <w:rsid w:val="00E4169A"/>
    <w:rsid w:val="00E85240"/>
    <w:rsid w:val="00F648BC"/>
    <w:rsid w:val="00FB5519"/>
    <w:rsid w:val="6F471CB3"/>
    <w:rsid w:val="7487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EF07C"/>
  <w15:docId w15:val="{0AB485D7-A0C8-4D42-8430-946EFA8E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宋体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宋体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eastAsia="宋体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eastAsia="宋体" w:hAnsi="Cambria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rFonts w:ascii="Calibri" w:hAnsi="Calibri"/>
      <w:b/>
      <w:i/>
      <w:i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link w:val="1"/>
    <w:uiPriority w:val="9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0">
    <w:name w:val="标题 3 字符"/>
    <w:link w:val="3"/>
    <w:uiPriority w:val="9"/>
    <w:semiHidden/>
    <w:rPr>
      <w:rFonts w:ascii="Cambria" w:eastAsia="宋体" w:hAnsi="Cambria"/>
      <w:b/>
      <w:bCs/>
      <w:sz w:val="26"/>
      <w:szCs w:val="26"/>
    </w:rPr>
  </w:style>
  <w:style w:type="character" w:customStyle="1" w:styleId="40">
    <w:name w:val="标题 4 字符"/>
    <w:link w:val="4"/>
    <w:uiPriority w:val="9"/>
    <w:semiHidden/>
    <w:rPr>
      <w:b/>
      <w:bCs/>
      <w:sz w:val="28"/>
      <w:szCs w:val="28"/>
    </w:rPr>
  </w:style>
  <w:style w:type="character" w:customStyle="1" w:styleId="50">
    <w:name w:val="标题 5 字符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标题 6 字符"/>
    <w:link w:val="6"/>
    <w:uiPriority w:val="9"/>
    <w:semiHidden/>
    <w:rPr>
      <w:b/>
      <w:bCs/>
    </w:rPr>
  </w:style>
  <w:style w:type="character" w:customStyle="1" w:styleId="70">
    <w:name w:val="标题 7 字符"/>
    <w:link w:val="7"/>
    <w:uiPriority w:val="9"/>
    <w:semiHidden/>
    <w:rPr>
      <w:sz w:val="24"/>
      <w:szCs w:val="24"/>
    </w:rPr>
  </w:style>
  <w:style w:type="character" w:customStyle="1" w:styleId="80">
    <w:name w:val="标题 8 字符"/>
    <w:link w:val="8"/>
    <w:uiPriority w:val="9"/>
    <w:semiHidden/>
    <w:rPr>
      <w:i/>
      <w:iCs/>
      <w:sz w:val="24"/>
      <w:szCs w:val="24"/>
    </w:rPr>
  </w:style>
  <w:style w:type="character" w:customStyle="1" w:styleId="90">
    <w:name w:val="标题 9 字符"/>
    <w:link w:val="9"/>
    <w:uiPriority w:val="9"/>
    <w:semiHidden/>
    <w:rPr>
      <w:rFonts w:ascii="Cambria" w:eastAsia="宋体" w:hAnsi="Cambria"/>
    </w:rPr>
  </w:style>
  <w:style w:type="character" w:customStyle="1" w:styleId="aa">
    <w:name w:val="标题 字符"/>
    <w:link w:val="a9"/>
    <w:uiPriority w:val="10"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8">
    <w:name w:val="副标题 字符"/>
    <w:link w:val="a7"/>
    <w:uiPriority w:val="11"/>
    <w:rPr>
      <w:rFonts w:ascii="Cambria" w:eastAsia="宋体" w:hAnsi="Cambria"/>
      <w:sz w:val="24"/>
      <w:szCs w:val="24"/>
    </w:rPr>
  </w:style>
  <w:style w:type="paragraph" w:styleId="ae">
    <w:name w:val="No Spacing"/>
    <w:basedOn w:val="a"/>
    <w:uiPriority w:val="1"/>
    <w:qFormat/>
    <w:rPr>
      <w:szCs w:val="32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Pr>
      <w:i/>
    </w:rPr>
  </w:style>
  <w:style w:type="character" w:customStyle="1" w:styleId="af1">
    <w:name w:val="引用 字符"/>
    <w:link w:val="af0"/>
    <w:uiPriority w:val="29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pPr>
      <w:ind w:left="720" w:right="720"/>
    </w:pPr>
    <w:rPr>
      <w:b/>
      <w:i/>
      <w:szCs w:val="22"/>
    </w:rPr>
  </w:style>
  <w:style w:type="character" w:customStyle="1" w:styleId="af3">
    <w:name w:val="明显引用 字符"/>
    <w:link w:val="af2"/>
    <w:uiPriority w:val="30"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A5A5A"/>
    </w:rPr>
  </w:style>
  <w:style w:type="character" w:customStyle="1" w:styleId="12">
    <w:name w:val="明显强调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uiPriority w:val="31"/>
    <w:qFormat/>
    <w:rPr>
      <w:sz w:val="24"/>
      <w:szCs w:val="24"/>
      <w:u w:val="single"/>
    </w:rPr>
  </w:style>
  <w:style w:type="character" w:customStyle="1" w:styleId="14">
    <w:name w:val="明显参考1"/>
    <w:uiPriority w:val="32"/>
    <w:qFormat/>
    <w:rPr>
      <w:b/>
      <w:sz w:val="24"/>
      <w:u w:val="single"/>
    </w:rPr>
  </w:style>
  <w:style w:type="character" w:customStyle="1" w:styleId="15">
    <w:name w:val="书籍标题1"/>
    <w:uiPriority w:val="33"/>
    <w:qFormat/>
    <w:rPr>
      <w:rFonts w:ascii="Cambria" w:eastAsia="宋体" w:hAnsi="Cambria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f4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00CharChar">
    <w:name w:val="00正文 Char Char"/>
    <w:link w:val="00"/>
    <w:qFormat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qFormat/>
    <w:pPr>
      <w:widowControl w:val="0"/>
      <w:spacing w:line="360" w:lineRule="auto"/>
      <w:ind w:firstLineChars="200" w:firstLine="480"/>
      <w:jc w:val="both"/>
      <w:textAlignment w:val="baseline"/>
    </w:pPr>
    <w:rPr>
      <w:rFonts w:ascii="仿宋_GB2312" w:eastAsia="仿宋_GB2312" w:hAnsi="宋体"/>
      <w:color w:val="000000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y.enaea.edu.cn/kecheng/detail_290016" TargetMode="External"/><Relationship Id="rId18" Type="http://schemas.openxmlformats.org/officeDocument/2006/relationships/hyperlink" Target="https://study.enaea.edu.cn/kecheng/detail_281767" TargetMode="External"/><Relationship Id="rId26" Type="http://schemas.openxmlformats.org/officeDocument/2006/relationships/hyperlink" Target="https://study.enaea.edu.cn/kecheng/detail_2888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udy.enaea.edu.cn/kecheng/detail_28690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tudy.enaea.edu.cn/kecheng/detail_283273" TargetMode="External"/><Relationship Id="rId17" Type="http://schemas.openxmlformats.org/officeDocument/2006/relationships/hyperlink" Target="https://study.enaea.edu.cn/kecheng/detail_279314" TargetMode="External"/><Relationship Id="rId25" Type="http://schemas.openxmlformats.org/officeDocument/2006/relationships/hyperlink" Target="https://study.enaea.edu.cn/kecheng/detail_290524" TargetMode="External"/><Relationship Id="rId33" Type="http://schemas.openxmlformats.org/officeDocument/2006/relationships/hyperlink" Target="https://study.enaea.edu.cn/kecheng/detail_2803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y.enaea.edu.cn/kecheng/detail_279315" TargetMode="External"/><Relationship Id="rId20" Type="http://schemas.openxmlformats.org/officeDocument/2006/relationships/hyperlink" Target="https://study.enaea.edu.cn/kecheng/detail_284535" TargetMode="External"/><Relationship Id="rId29" Type="http://schemas.openxmlformats.org/officeDocument/2006/relationships/hyperlink" Target="https://study.enaea.edu.cn/kecheng/detail_2822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.enaea.edu.cn/kecheng/detail_289844" TargetMode="External"/><Relationship Id="rId24" Type="http://schemas.openxmlformats.org/officeDocument/2006/relationships/hyperlink" Target="https://study.enaea.edu.cn/kecheng/detail_282439" TargetMode="External"/><Relationship Id="rId32" Type="http://schemas.openxmlformats.org/officeDocument/2006/relationships/hyperlink" Target="https://study.enaea.edu.cn/kecheng/detail_2905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y.enaea.edu.cn/kecheng/detail_281617" TargetMode="External"/><Relationship Id="rId23" Type="http://schemas.openxmlformats.org/officeDocument/2006/relationships/hyperlink" Target="https://study.enaea.edu.cn/kecheng/detail_280978" TargetMode="External"/><Relationship Id="rId28" Type="http://schemas.openxmlformats.org/officeDocument/2006/relationships/hyperlink" Target="https://study.enaea.edu.cn/kecheng/detail_28701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udy.enaea.edu.cn/kecheng/detail_284500" TargetMode="External"/><Relationship Id="rId19" Type="http://schemas.openxmlformats.org/officeDocument/2006/relationships/hyperlink" Target="https://study.enaea.edu.cn/kecheng/detail_282435" TargetMode="External"/><Relationship Id="rId31" Type="http://schemas.openxmlformats.org/officeDocument/2006/relationships/hyperlink" Target="https://study.enaea.edu.cn/kecheng/detail_289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.enaea.edu.cn/kecheng/detail_277029" TargetMode="External"/><Relationship Id="rId14" Type="http://schemas.openxmlformats.org/officeDocument/2006/relationships/hyperlink" Target="https://study.enaea.edu.cn/kecheng/detail_281918" TargetMode="External"/><Relationship Id="rId22" Type="http://schemas.openxmlformats.org/officeDocument/2006/relationships/hyperlink" Target="https://study.enaea.edu.cn/kecheng/detail_290506" TargetMode="External"/><Relationship Id="rId27" Type="http://schemas.openxmlformats.org/officeDocument/2006/relationships/hyperlink" Target="https://study.enaea.edu.cn/kecheng/detail_290586" TargetMode="External"/><Relationship Id="rId30" Type="http://schemas.openxmlformats.org/officeDocument/2006/relationships/hyperlink" Target="https://study.enaea.edu.cn/kecheng/detail_28713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tudy.enaea.edu.cn/kecheng/detail_27848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</dc:creator>
  <cp:lastModifiedBy>陈静</cp:lastModifiedBy>
  <cp:revision>29</cp:revision>
  <cp:lastPrinted>2021-10-18T03:45:00Z</cp:lastPrinted>
  <dcterms:created xsi:type="dcterms:W3CDTF">2021-09-28T08:33:00Z</dcterms:created>
  <dcterms:modified xsi:type="dcterms:W3CDTF">2021-10-18T06:11:00Z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55C62507B7264CB2A47AA1086297A1B9</vt:lpwstr>
  </property>
</Properties>
</file>